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5B" w:rsidRPr="00F602E5" w:rsidRDefault="00794D5B" w:rsidP="009457B8">
      <w:pPr>
        <w:jc w:val="center"/>
        <w:rPr>
          <w:rFonts w:ascii="Arial" w:hAnsi="Arial" w:cs="Arial"/>
          <w:b/>
          <w:sz w:val="24"/>
          <w:szCs w:val="24"/>
        </w:rPr>
      </w:pPr>
      <w:r w:rsidRPr="00F602E5">
        <w:rPr>
          <w:rFonts w:ascii="Arial" w:hAnsi="Arial" w:cs="Arial"/>
          <w:b/>
          <w:sz w:val="24"/>
          <w:szCs w:val="24"/>
        </w:rPr>
        <w:t>CONTABILIDADE FINANCEIRA</w:t>
      </w:r>
    </w:p>
    <w:p w:rsidR="00794D5B" w:rsidRPr="00F602E5" w:rsidRDefault="00794D5B" w:rsidP="009457B8">
      <w:pPr>
        <w:jc w:val="center"/>
        <w:rPr>
          <w:rFonts w:ascii="Arial" w:hAnsi="Arial" w:cs="Arial"/>
          <w:b/>
          <w:sz w:val="24"/>
          <w:szCs w:val="24"/>
        </w:rPr>
      </w:pPr>
      <w:r w:rsidRPr="00F602E5">
        <w:rPr>
          <w:rFonts w:ascii="Arial" w:hAnsi="Arial" w:cs="Arial"/>
          <w:b/>
          <w:sz w:val="24"/>
          <w:szCs w:val="24"/>
        </w:rPr>
        <w:t>Prof.: Hudson Machado</w:t>
      </w:r>
    </w:p>
    <w:p w:rsidR="00794D5B" w:rsidRPr="00F602E5" w:rsidRDefault="00794D5B" w:rsidP="009457B8">
      <w:pPr>
        <w:jc w:val="center"/>
        <w:rPr>
          <w:rFonts w:ascii="Arial" w:hAnsi="Arial" w:cs="Arial"/>
          <w:b/>
          <w:sz w:val="24"/>
          <w:szCs w:val="24"/>
        </w:rPr>
      </w:pPr>
      <w:r w:rsidRPr="00F602E5">
        <w:rPr>
          <w:rFonts w:ascii="Arial" w:hAnsi="Arial" w:cs="Arial"/>
          <w:b/>
          <w:sz w:val="24"/>
          <w:szCs w:val="24"/>
        </w:rPr>
        <w:t>Cel. :(96) 99131-0658</w:t>
      </w:r>
    </w:p>
    <w:p w:rsidR="00794D5B" w:rsidRPr="00F602E5" w:rsidRDefault="00794D5B" w:rsidP="009457B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602E5">
        <w:rPr>
          <w:rFonts w:ascii="Arial" w:hAnsi="Arial" w:cs="Arial"/>
          <w:b/>
          <w:sz w:val="24"/>
          <w:szCs w:val="24"/>
        </w:rPr>
        <w:t xml:space="preserve">E-mail.: </w:t>
      </w:r>
      <w:hyperlink r:id="rId5" w:history="1">
        <w:r w:rsidRPr="00F602E5">
          <w:rPr>
            <w:rStyle w:val="Hyperlink"/>
            <w:rFonts w:ascii="Arial" w:hAnsi="Arial" w:cs="Arial"/>
            <w:b/>
            <w:i/>
            <w:sz w:val="24"/>
            <w:szCs w:val="24"/>
          </w:rPr>
          <w:t>profhudsonmachado@hotmail.com</w:t>
        </w:r>
      </w:hyperlink>
    </w:p>
    <w:p w:rsidR="00794D5B" w:rsidRPr="00F602E5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</w:p>
    <w:p w:rsidR="00794D5B" w:rsidRPr="00F602E5" w:rsidRDefault="00794D5B" w:rsidP="009457B8">
      <w:pPr>
        <w:shd w:val="clear" w:color="auto" w:fill="FFFFFF"/>
        <w:spacing w:before="120" w:after="120" w:line="240" w:lineRule="auto"/>
        <w:jc w:val="center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F602E5">
        <w:rPr>
          <w:rFonts w:ascii="Arial" w:hAnsi="Arial" w:cs="Arial"/>
          <w:b/>
          <w:sz w:val="24"/>
          <w:szCs w:val="24"/>
        </w:rPr>
        <w:t>Aula II 16/02/2017</w:t>
      </w:r>
      <w:bookmarkStart w:id="0" w:name="_GoBack"/>
      <w:bookmarkEnd w:id="0"/>
    </w:p>
    <w:p w:rsidR="00794D5B" w:rsidRPr="00F602E5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F602E5">
        <w:rPr>
          <w:rFonts w:ascii="Arial" w:hAnsi="Arial" w:cs="Arial"/>
          <w:b/>
          <w:sz w:val="24"/>
          <w:szCs w:val="24"/>
        </w:rPr>
        <w:t>Estimativas</w:t>
      </w:r>
    </w:p>
    <w:p w:rsidR="00794D5B" w:rsidRPr="00F602E5" w:rsidRDefault="00794D5B" w:rsidP="00F602E5">
      <w:pPr>
        <w:shd w:val="clear" w:color="auto" w:fill="FFFFFF"/>
        <w:spacing w:before="120" w:after="120" w:line="240" w:lineRule="auto"/>
        <w:ind w:firstLine="708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F602E5">
        <w:rPr>
          <w:rFonts w:ascii="Arial" w:hAnsi="Arial" w:cs="Arial"/>
          <w:b/>
          <w:sz w:val="24"/>
          <w:szCs w:val="24"/>
        </w:rPr>
        <w:t>DO LADO DO ATIVO</w:t>
      </w:r>
      <w:r w:rsidRPr="00F602E5">
        <w:rPr>
          <w:rFonts w:ascii="Arial" w:hAnsi="Arial" w:cs="Arial"/>
          <w:sz w:val="24"/>
          <w:szCs w:val="24"/>
        </w:rPr>
        <w:t xml:space="preserve">, representado por bens e direitos, alguns dos direitos poderão não ser realizados, ou seja, transformados em dinheiro, como, por exemplo, os valores a receber; logo, é de extrema importância que a empresa registre estimativas de perdas. </w:t>
      </w:r>
    </w:p>
    <w:p w:rsidR="00794D5B" w:rsidRPr="00F602E5" w:rsidRDefault="00794D5B" w:rsidP="00F602E5">
      <w:pPr>
        <w:shd w:val="clear" w:color="auto" w:fill="FFFFFF"/>
        <w:spacing w:before="120" w:after="12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F602E5">
        <w:rPr>
          <w:rFonts w:ascii="Arial" w:hAnsi="Arial" w:cs="Arial"/>
          <w:b/>
          <w:sz w:val="24"/>
          <w:szCs w:val="24"/>
        </w:rPr>
        <w:t>EM RELAÇÃO AO PASSIVO</w:t>
      </w:r>
      <w:r w:rsidRPr="00F602E5">
        <w:rPr>
          <w:rFonts w:ascii="Arial" w:hAnsi="Arial" w:cs="Arial"/>
          <w:sz w:val="24"/>
          <w:szCs w:val="24"/>
        </w:rPr>
        <w:t>, a princípio, todas as obrigações deverão ser registradas, porém, algumas delas poderão não ter o valor exato da dívida. É o caso dos processos trabalhistas; logo, a empresa deverá registrá-las por meio de provisões.</w:t>
      </w:r>
    </w:p>
    <w:p w:rsidR="00794D5B" w:rsidRPr="00F602E5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F602E5">
        <w:rPr>
          <w:rFonts w:ascii="Arial" w:hAnsi="Arial" w:cs="Arial"/>
          <w:b/>
          <w:sz w:val="24"/>
          <w:szCs w:val="24"/>
        </w:rPr>
        <w:t xml:space="preserve">Estimativas como contas redutoras do ativo </w:t>
      </w:r>
    </w:p>
    <w:p w:rsidR="00794D5B" w:rsidRPr="00F602E5" w:rsidRDefault="00794D5B" w:rsidP="00F602E5">
      <w:pPr>
        <w:shd w:val="clear" w:color="auto" w:fill="FFFFFF"/>
        <w:spacing w:before="120" w:after="12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F602E5">
        <w:rPr>
          <w:rFonts w:ascii="Arial" w:hAnsi="Arial" w:cs="Arial"/>
          <w:sz w:val="24"/>
          <w:szCs w:val="24"/>
        </w:rPr>
        <w:t xml:space="preserve">As estimativas que reduzem o ativo são, obviamente, </w:t>
      </w:r>
      <w:r w:rsidRPr="00F602E5">
        <w:rPr>
          <w:rFonts w:ascii="Arial" w:hAnsi="Arial" w:cs="Arial"/>
          <w:b/>
          <w:sz w:val="24"/>
          <w:szCs w:val="24"/>
        </w:rPr>
        <w:t>contas credoras</w:t>
      </w:r>
      <w:r w:rsidRPr="00F602E5">
        <w:rPr>
          <w:rFonts w:ascii="Arial" w:hAnsi="Arial" w:cs="Arial"/>
          <w:sz w:val="24"/>
          <w:szCs w:val="24"/>
        </w:rPr>
        <w:t>, visto que corrigem o saldo do ativo que tem natureza devedora</w:t>
      </w:r>
      <w:r w:rsidRPr="00F602E5">
        <w:rPr>
          <w:rFonts w:ascii="Arial" w:hAnsi="Arial" w:cs="Arial"/>
          <w:sz w:val="24"/>
          <w:szCs w:val="24"/>
        </w:rPr>
        <w:t>.</w:t>
      </w:r>
    </w:p>
    <w:p w:rsidR="00794D5B" w:rsidRPr="00F602E5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Contas Redutoras do Ativo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ind w:firstLine="225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Também chamadas de contas retificadoras.</w:t>
      </w: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contas que, embora apareçam num determinado grupo patrimonial (Ativo ou Passivo), têm saldo contrário em relação às demais contas desse grupo.</w:t>
      </w:r>
    </w:p>
    <w:p w:rsidR="00794D5B" w:rsidRPr="00794D5B" w:rsidRDefault="00794D5B" w:rsidP="00F602E5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conta redutora do Ativo terá natureza credora.</w:t>
      </w:r>
    </w:p>
    <w:p w:rsidR="00794D5B" w:rsidRPr="00794D5B" w:rsidRDefault="00794D5B" w:rsidP="00F602E5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conta redutora do Passivo terá natureza devedora.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contas retificadoras reduzem o saldo total do grupo em que aparecem.</w:t>
      </w:r>
    </w:p>
    <w:p w:rsidR="00794D5B" w:rsidRPr="00F602E5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Contas retificadoras do grupo Ativo</w:t>
      </w:r>
    </w:p>
    <w:p w:rsidR="00794D5B" w:rsidRPr="00F602E5" w:rsidRDefault="00794D5B" w:rsidP="00F602E5">
      <w:pPr>
        <w:pStyle w:val="PargrafodaLista"/>
        <w:numPr>
          <w:ilvl w:val="0"/>
          <w:numId w:val="10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Provisão para Créditos de Liquidação Duvidosa (PCLD)</w:t>
      </w:r>
    </w:p>
    <w:p w:rsidR="00794D5B" w:rsidRPr="00F602E5" w:rsidRDefault="00794D5B" w:rsidP="00F602E5">
      <w:pPr>
        <w:pStyle w:val="PargrafodaLista"/>
        <w:numPr>
          <w:ilvl w:val="0"/>
          <w:numId w:val="10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Provisão para Créditos de Liquidação Duvidosa (PCLD)</w:t>
      </w:r>
    </w:p>
    <w:p w:rsidR="00794D5B" w:rsidRPr="00F602E5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uma empresa vende a prazo, ela corre o risco de receber ou não o dinheiro devido pelo cliente. Certamente, ela não irá receber 100% do valor em haver, ocorrendo assim a inadimplência.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Provisão para Créditos de Liquidação Duvidosa (PCLD) existe para reconhecer essa parcela que a empresa não receberá de forma onerosa em seu resultado, representando uma “perda” de valor nos seus títulos a receber, afetando o seu Patrimônio Líquido.</w:t>
      </w:r>
    </w:p>
    <w:p w:rsidR="00794D5B" w:rsidRPr="00F602E5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a parcela estimada pela empresa que não será recebida em decorrência dos maus pagadores.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Exemplos</w:t>
      </w:r>
    </w:p>
    <w:p w:rsidR="00F602E5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Cheque sem fundos, cartões de crédito sem saldo, clientes que não pagarão, etc.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PCLD é uma conta de natureza credora, fazendo parte do Ativo Circulante, grupo Disponibilidades.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uma conta redutora, ou seja, entra com saldo negativo no Ativo, deduzindo os valores a receber dos clientes (conta Duplicatas a receber).</w:t>
      </w:r>
    </w:p>
    <w:p w:rsidR="00F602E5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contabilização deve ser feita da seguinte forma:</w:t>
      </w:r>
    </w:p>
    <w:p w:rsidR="00F602E5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D- Despesas com PCLD (despesas administrativas (DRE) / -PL)</w:t>
      </w:r>
    </w:p>
    <w:p w:rsidR="00794D5B" w:rsidRPr="00F602E5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C- PCLD (conta retificadora, saldo credor (Ativo) / -A)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empresa deve considerar os fatores de risco conhecidos, para que se possa </w:t>
      </w:r>
      <w:r w:rsidRPr="00794D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estimar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criteriosamente, a expectativa de perdas com </w:t>
      </w:r>
      <w:r w:rsidRPr="00794D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contas a receber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F602E5"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 ser feito através da determinação do </w:t>
      </w:r>
      <w:r w:rsidRPr="00794D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valor das perdas já conhecidas com base nos clientes em concordata, falência ou dificuldades financeiras ou ainda estabelecer um valor adicional de provisão para cobrir perdas prováveis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mesmo que ainda não conhecidas, tomando-se como base a </w:t>
      </w:r>
      <w:r w:rsidRPr="00794D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taxa de inadimplência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ocorrida nos anos anteriores.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Exemplo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Percentual médio de perdas ocorridas nos três últimos exercícios, em relação ao saldo da conta Clientes na data do balanço de encerramento: 3%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 titular de $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5.000.000,00 em Duplicatas a receber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 da provisão: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$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5.000.000,00 </w:t>
      </w:r>
      <w:proofErr w:type="gramStart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</w:t>
      </w:r>
      <w:proofErr w:type="gramEnd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3% = $150.000,00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assim:</w:t>
      </w:r>
    </w:p>
    <w:p w:rsidR="00794D5B" w:rsidRPr="00794D5B" w:rsidRDefault="00794D5B" w:rsidP="00F602E5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D- Despesa </w:t>
      </w: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</w:t>
      </w:r>
      <w:proofErr w:type="gramStart"/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PCLD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.$</w:t>
      </w:r>
      <w:proofErr w:type="gramEnd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150.000,00</w:t>
      </w:r>
    </w:p>
    <w:p w:rsidR="00794D5B" w:rsidRPr="00794D5B" w:rsidRDefault="00794D5B" w:rsidP="00F602E5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C- PCLD………</w:t>
      </w:r>
      <w:proofErr w:type="gramStart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…….</w:t>
      </w:r>
      <w:proofErr w:type="gramEnd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$150.000,00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Provisão para ajuste ao valor de mercado</w:t>
      </w:r>
    </w:p>
    <w:p w:rsidR="00F602E5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conta redutora da conta Estoques (no Ativo Circulante).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por finalidade eliminar dos estoques a parcela dos custos que provavelmente não é recuperável.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Essa conta prevê prováveis perdas resultantes de estragos, deterioração, obsolescência, redução nos preços de venda ou de reposição do estoque.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constituição desta provisão é feita com base no Princípio de Avaliação de Estoque, que é assim determinado: custo ou mercado, dos dois o menor.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 acordo com esse princípio, as perdas devem ser reconhecidas no resultado do exercício em que ocorreram e não no exercício em que a mercadoria (produto) é vendida, reposta ou transformada em sucata.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constituição desta provisão gera um lançamento a crédito nessa conta e a contrapartida é lançada na demonstração de resultado (DRE), no grupo de Despesas Operacionais.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94D5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Provisão para perdas prováveis na realização de investimentos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conta retificadora da conta Participações em outras empresas (Ativo Não Circulante, grupo Investimentos).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Deverá ser constituída no exercício social quando, nas empresas investidas, houver perdas de difícil ou improvável recuperação.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 seja, quando essa perda estiver comprovada como permanente.</w:t>
      </w:r>
    </w:p>
    <w:p w:rsidR="00F602E5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Depreciação acumulada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a diminuição do valor de um bem, resultante do desgaste pelo uso, ação da natureza e obsolescência normal.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 seja, é o motivo de perda de valor ao passar do tempo, por ter surgido um melhor (desvalorização).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depreciação é o registro da perda de materiais da empresa (desgaste de bens materiais/tangíveis).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depreciação ocorre apenas nos bens materiais classificados no Ativo Imobilizado e nos bens de renda classificados no grupo de Investimentos do Ativo Não Circulante (ex.: imóveis alugados).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 ser calculada mensalmente ou no final do ano, por ocasião da Apuração do Resultado do Exercício (ARE).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Obsolescência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Acontece em função de novos inventos.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bem obsoleto é um bem antiquado, ultrapassado, fora de moda (na Legislação Tributária é fixado métodos, prazos e critérios para tal).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Taxa de depreciação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Percentual fixado em função do tempo de vida útil do bem.</w:t>
      </w:r>
    </w:p>
    <w:tbl>
      <w:tblPr>
        <w:tblW w:w="4029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2124"/>
        <w:gridCol w:w="1576"/>
      </w:tblGrid>
      <w:tr w:rsidR="00794D5B" w:rsidRPr="00794D5B" w:rsidTr="00F602E5">
        <w:trPr>
          <w:trHeight w:val="164"/>
          <w:jc w:val="center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2E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Conta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2E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Taxa (ao ano)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2E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Vida útil</w:t>
            </w:r>
          </w:p>
        </w:tc>
      </w:tr>
      <w:tr w:rsidR="00794D5B" w:rsidRPr="00794D5B" w:rsidTr="00F602E5">
        <w:trPr>
          <w:trHeight w:val="1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Veículos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20% a.a.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 anos</w:t>
            </w:r>
          </w:p>
        </w:tc>
      </w:tr>
      <w:tr w:rsidR="00794D5B" w:rsidRPr="00794D5B" w:rsidTr="00F602E5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Imóveis (prédios)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4% a.a.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 anos</w:t>
            </w:r>
          </w:p>
        </w:tc>
      </w:tr>
      <w:tr w:rsidR="00794D5B" w:rsidRPr="00794D5B" w:rsidTr="00F602E5">
        <w:trPr>
          <w:trHeight w:val="1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Móveis e utensílios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10% a.a.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 anos</w:t>
            </w:r>
          </w:p>
        </w:tc>
      </w:tr>
      <w:tr w:rsidR="00794D5B" w:rsidRPr="00794D5B" w:rsidTr="00F602E5">
        <w:trPr>
          <w:trHeight w:val="3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Computadores e periféricos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20% a.a.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 anos</w:t>
            </w:r>
          </w:p>
        </w:tc>
      </w:tr>
      <w:tr w:rsidR="00794D5B" w:rsidRPr="00794D5B" w:rsidTr="00F602E5">
        <w:trPr>
          <w:trHeight w:val="33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Máquinas e equipamentos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10% a.a.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 anos</w:t>
            </w:r>
          </w:p>
        </w:tc>
      </w:tr>
      <w:tr w:rsidR="00794D5B" w:rsidRPr="00794D5B" w:rsidTr="00F602E5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602E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Não deprecia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94D5B" w:rsidRPr="00794D5B" w:rsidRDefault="00794D5B" w:rsidP="00F602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94D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———–</w:t>
            </w:r>
          </w:p>
        </w:tc>
      </w:tr>
    </w:tbl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Softwares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Sofrem amortização e não depreciação.</w:t>
      </w:r>
    </w:p>
    <w:p w:rsidR="00794D5B" w:rsidRPr="00794D5B" w:rsidRDefault="00794D5B" w:rsidP="00F602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taxa de</w:t>
      </w: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F602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amortização</w:t>
      </w: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50% a.a.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Exemplo 1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Bem: Veículos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Valor: $45.000 (valor de aquisição)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Taxa de depreciação: 20% a.a. (ao ano)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$45.000 </w:t>
      </w:r>
      <w:proofErr w:type="gramStart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</w:t>
      </w:r>
      <w:proofErr w:type="gramEnd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20% a.a. = $9.000 –&gt; valor da depreciação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contabilização deve ser feita da seguinte forma:</w:t>
      </w:r>
    </w:p>
    <w:p w:rsidR="00794D5B" w:rsidRPr="00794D5B" w:rsidRDefault="00794D5B" w:rsidP="00F602E5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D- Despesa com depreciação (-PL)</w:t>
      </w:r>
    </w:p>
    <w:p w:rsidR="00794D5B" w:rsidRPr="00794D5B" w:rsidRDefault="00794D5B" w:rsidP="00F602E5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C- Depreciação acumulada veículos (-A)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Exemplo 2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Bem: Móveis e utensílios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Valor: $6.000 (valor de aquisição)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Taxa de depreciação: 10% a.a. (ao ano)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$6.000 </w:t>
      </w:r>
      <w:proofErr w:type="gramStart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</w:t>
      </w:r>
      <w:proofErr w:type="gramEnd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10% a.a. = $600 –&gt; valor da depreciação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contabilização deve ser feita da seguinte forma:</w:t>
      </w:r>
    </w:p>
    <w:p w:rsidR="00794D5B" w:rsidRPr="00794D5B" w:rsidRDefault="00794D5B" w:rsidP="00F602E5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D- Despesa com depreciação (-PL)</w:t>
      </w:r>
    </w:p>
    <w:p w:rsidR="00794D5B" w:rsidRPr="00794D5B" w:rsidRDefault="00794D5B" w:rsidP="00F602E5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C- Depreciação acumulada móveis e utensílios (-A)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Depreciação de bens adquiridos usados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o bem adquirido for usado, deverá ser usado o maior prazo dentre os seguintes:</w:t>
      </w:r>
    </w:p>
    <w:p w:rsidR="00794D5B" w:rsidRPr="00794D5B" w:rsidRDefault="00F602E5" w:rsidP="00F602E5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Metade</w:t>
      </w:r>
      <w:r w:rsidR="00794D5B"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prazo de vida útil do bem quando adquirido novo;</w:t>
      </w:r>
    </w:p>
    <w:p w:rsidR="00794D5B" w:rsidRPr="00794D5B" w:rsidRDefault="00F602E5" w:rsidP="00F602E5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Restante</w:t>
      </w:r>
      <w:r w:rsidR="00794D5B"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vida útil do bem, considerando este em relação à primeira instalação ou utilização desse bem.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Exemplo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maquinário foi adquirido novo em 20/10/2006.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Vida útil: 4 anos.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Estará totalmente depreciado em 20/10/2010.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20/12/2008, a empresa ABC compra este veículo usado.</w:t>
      </w:r>
    </w:p>
    <w:p w:rsidR="00794D5B" w:rsidRPr="00794D5B" w:rsidRDefault="00794D5B" w:rsidP="009457B8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tempo usado para se realizar a depreciação desse maquinário será de 2 anos na empresa, sendo a taxa de 50% ao ano.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Vida útil do bem: 4 anos.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Metade da vida útil do bem: 2 anos ou 24 meses.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Tempo de vida útil restante do bem: de 20/12/2008 a 20/10/2010 (22 meses).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a empresa adquirir um bem que já sofreu depreciação total (onde o prazo de vida útil já se esgotou), porém esse bem ainda pode ser utilizá-lo, a empresa que o adquirir não poderá utilizar mais a depreciação, visto que foi depreciado totalmente pela empresa que o adquiriu anteriormente.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94D5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Exaustão acumulada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a importância referente à diminuição do valor dos recursos naturais (minérios e outros), resultantes da sua exploração.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Toda e qualquer jazida de minério possui uma capacidade produtiva, ou seja, uma produção limitada de minérios.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Exaustão é o valor da parcela que reduz essa produção.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 medida que se extraem os minérios, a jazida vai se exaurindo.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Lançamento contábil:</w:t>
      </w:r>
    </w:p>
    <w:p w:rsidR="00794D5B" w:rsidRPr="00794D5B" w:rsidRDefault="00794D5B" w:rsidP="00F602E5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D- Despesa com exaustão</w:t>
      </w:r>
    </w:p>
    <w:p w:rsidR="00794D5B" w:rsidRPr="00794D5B" w:rsidRDefault="00794D5B" w:rsidP="00F602E5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C- Exaustão acumulada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94D5B" w:rsidRPr="00794D5B" w:rsidRDefault="00794D5B" w:rsidP="00F602E5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Amortização acumulada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o valor correspondente à recuperação de um investimento feito em bens intangíveis, ou de valores aplicados em despesas que contribuam para a formação de resultados de mais de um exercício contábil e que serão lançados como custo ou encargo em cada exercício.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 seja, é a perda do valor econômico do capital aplicado em bens intangíveis do Ativo, necessários a manutenção da empresa.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o desgaste de bens imateriais.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Acontece no mesmo sentido que a depreciação.</w:t>
      </w:r>
      <w:r w:rsid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principais bens sujeitos à amortização pertencem ao Ativo Não Circulante (grupo Imobilizado e Intangível).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Exemplos</w:t>
      </w:r>
    </w:p>
    <w:p w:rsidR="00794D5B" w:rsidRPr="00F602E5" w:rsidRDefault="00794D5B" w:rsidP="00F602E5">
      <w:pPr>
        <w:pStyle w:val="PargrafodaLista"/>
        <w:numPr>
          <w:ilvl w:val="0"/>
          <w:numId w:val="11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Marcas e patentes</w:t>
      </w:r>
    </w:p>
    <w:p w:rsidR="00794D5B" w:rsidRPr="00F602E5" w:rsidRDefault="00794D5B" w:rsidP="00F602E5">
      <w:pPr>
        <w:pStyle w:val="PargrafodaLista"/>
        <w:numPr>
          <w:ilvl w:val="0"/>
          <w:numId w:val="11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Ponto comercial ou fundo de comércio</w:t>
      </w:r>
    </w:p>
    <w:p w:rsidR="00794D5B" w:rsidRPr="00F602E5" w:rsidRDefault="00794D5B" w:rsidP="00F602E5">
      <w:pPr>
        <w:pStyle w:val="PargrafodaLista"/>
        <w:numPr>
          <w:ilvl w:val="0"/>
          <w:numId w:val="11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02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Benfeitorias executadas em prédios de terceiros, direitos autorais, etc.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valor total da amortização não poderá ser superior ao custo de aquisição do bem ou do direito.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Quotas de amortização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definidas pela aplicação da taxa anual de amortização sobre o valor original do capital aplicado.</w:t>
      </w:r>
    </w:p>
    <w:p w:rsidR="00F602E5" w:rsidRDefault="00F602E5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602E5" w:rsidRDefault="00F602E5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602E5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Taxa anual de amortização</w:t>
      </w:r>
      <w:r w:rsidR="00F602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Será fixada tendo em vista o número de anos restantes de existência do </w:t>
      </w:r>
      <w:proofErr w:type="gramStart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direito</w:t>
      </w:r>
      <w:proofErr w:type="gramEnd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 número de períodos em que deverão ser usufruídos os benefícios decorrentes das despesas registradas no Ativo Intangível.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Prazo mínimo e máximo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RIR fixa em cinco anos o prazo mínimo de amortização e a Lei 6.404/76 diz que o prazo não deve ser superior a dez anos.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contabilização deve ser feita da seguinte forma:</w:t>
      </w:r>
    </w:p>
    <w:p w:rsidR="00794D5B" w:rsidRPr="00794D5B" w:rsidRDefault="00794D5B" w:rsidP="00F602E5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D- Despesa com amortização (-PL / DRE)</w:t>
      </w:r>
    </w:p>
    <w:p w:rsidR="00794D5B" w:rsidRPr="00794D5B" w:rsidRDefault="00794D5B" w:rsidP="00F602E5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C- Amortização Acumulada (-A)</w:t>
      </w:r>
    </w:p>
    <w:p w:rsidR="00F602E5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Exemplo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Suponhamos que a conta Benfeitorias em bens de terceiros apresente saldo de R$40.000,00, o qual deve ser amortizado a taxa de 10% a.a.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temos: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Taxa x valor do bem/100 = Quota de amortização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0,10 x R$40.000,00 = R$4.000,00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R$4.000,00/100 = R$40,00</w:t>
      </w:r>
    </w:p>
    <w:p w:rsidR="00794D5B" w:rsidRPr="00794D5B" w:rsidRDefault="00794D5B" w:rsidP="00F602E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assim:</w:t>
      </w:r>
    </w:p>
    <w:p w:rsidR="00794D5B" w:rsidRPr="00794D5B" w:rsidRDefault="00794D5B" w:rsidP="00F602E5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D- Despesa com amortização……R$40,00</w:t>
      </w:r>
    </w:p>
    <w:p w:rsidR="00794D5B" w:rsidRPr="00794D5B" w:rsidRDefault="00794D5B" w:rsidP="00F602E5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C- Amortização acumulada…</w:t>
      </w:r>
      <w:proofErr w:type="gramStart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…….</w:t>
      </w:r>
      <w:proofErr w:type="gramEnd"/>
      <w:r w:rsidRPr="00794D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R$40,00</w:t>
      </w:r>
    </w:p>
    <w:p w:rsidR="00824D99" w:rsidRPr="00F602E5" w:rsidRDefault="00824D99" w:rsidP="00F602E5">
      <w:pPr>
        <w:jc w:val="both"/>
        <w:rPr>
          <w:rFonts w:ascii="Arial" w:hAnsi="Arial" w:cs="Arial"/>
          <w:sz w:val="24"/>
          <w:szCs w:val="24"/>
        </w:rPr>
      </w:pPr>
    </w:p>
    <w:sectPr w:rsidR="00824D99" w:rsidRPr="00F60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4F"/>
    <w:multiLevelType w:val="multilevel"/>
    <w:tmpl w:val="76866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5A9"/>
    <w:multiLevelType w:val="multilevel"/>
    <w:tmpl w:val="D47C4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400B1"/>
    <w:multiLevelType w:val="multilevel"/>
    <w:tmpl w:val="4A90D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66FD8"/>
    <w:multiLevelType w:val="multilevel"/>
    <w:tmpl w:val="28106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24020"/>
    <w:multiLevelType w:val="multilevel"/>
    <w:tmpl w:val="7C66F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A34F0"/>
    <w:multiLevelType w:val="multilevel"/>
    <w:tmpl w:val="3E604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F482A"/>
    <w:multiLevelType w:val="multilevel"/>
    <w:tmpl w:val="4FB2F5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E3AE6"/>
    <w:multiLevelType w:val="hybridMultilevel"/>
    <w:tmpl w:val="A7CCF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B5FD7"/>
    <w:multiLevelType w:val="multilevel"/>
    <w:tmpl w:val="EA568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D6DA1"/>
    <w:multiLevelType w:val="hybridMultilevel"/>
    <w:tmpl w:val="8ED2A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22B1"/>
    <w:multiLevelType w:val="multilevel"/>
    <w:tmpl w:val="2828D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5B"/>
    <w:rsid w:val="00794D5B"/>
    <w:rsid w:val="00824D99"/>
    <w:rsid w:val="009457B8"/>
    <w:rsid w:val="00F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1623"/>
  <w15:chartTrackingRefBased/>
  <w15:docId w15:val="{052887F8-0DA5-4741-B3A7-FFCBBC9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4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94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94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94D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D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4D5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94D5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94D5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4D5B"/>
    <w:rPr>
      <w:b/>
      <w:bCs/>
    </w:rPr>
  </w:style>
  <w:style w:type="character" w:customStyle="1" w:styleId="apple-converted-space">
    <w:name w:val="apple-converted-space"/>
    <w:basedOn w:val="Fontepargpadro"/>
    <w:rsid w:val="00794D5B"/>
  </w:style>
  <w:style w:type="character" w:styleId="Hyperlink">
    <w:name w:val="Hyperlink"/>
    <w:basedOn w:val="Fontepargpadro"/>
    <w:uiPriority w:val="99"/>
    <w:unhideWhenUsed/>
    <w:rsid w:val="00794D5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9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hudsonmach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1487</Words>
  <Characters>8035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ESTRELA</dc:creator>
  <cp:keywords/>
  <dc:description/>
  <cp:lastModifiedBy>ESTRELA</cp:lastModifiedBy>
  <cp:revision>1</cp:revision>
  <dcterms:created xsi:type="dcterms:W3CDTF">2017-02-16T19:22:00Z</dcterms:created>
  <dcterms:modified xsi:type="dcterms:W3CDTF">2017-02-16T19:44:00Z</dcterms:modified>
</cp:coreProperties>
</file>